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89565C1" w14:textId="0CA73791" w:rsidR="00420A38" w:rsidRPr="000E7E23" w:rsidRDefault="00420A38" w:rsidP="009E2C96">
      <w:pPr>
        <w:pStyle w:val="Header"/>
        <w:tabs>
          <w:tab w:val="clear" w:pos="9639"/>
          <w:tab w:val="right" w:pos="5954"/>
        </w:tabs>
        <w:spacing w:after="240"/>
        <w:rPr>
          <w:rFonts w:asciiTheme="minorHAnsi" w:hAnsiTheme="minorHAnsi"/>
        </w:rPr>
      </w:pPr>
      <w:r>
        <w:tab/>
      </w:r>
      <w:r w:rsidRPr="000E7E23">
        <w:rPr>
          <w:rFonts w:asciiTheme="minorHAnsi" w:hAnsiTheme="minorHAnsi"/>
        </w:rPr>
        <w:tab/>
      </w:r>
      <w:r w:rsidRPr="000E7E23">
        <w:rPr>
          <w:rFonts w:asciiTheme="minorHAnsi" w:hAnsiTheme="minorHAnsi"/>
        </w:rPr>
        <w:tab/>
        <w:t>Input paper</w:t>
      </w:r>
      <w:r w:rsidR="00037DF4" w:rsidRPr="000E7E23">
        <w:rPr>
          <w:rFonts w:asciiTheme="minorHAnsi" w:hAnsiTheme="minorHAnsi"/>
        </w:rPr>
        <w:t xml:space="preserve">: </w:t>
      </w:r>
      <w:r w:rsidRPr="000E7E23">
        <w:rPr>
          <w:rStyle w:val="FootnoteReference"/>
          <w:rFonts w:asciiTheme="minorHAnsi" w:hAnsiTheme="minorHAnsi"/>
          <w:sz w:val="22"/>
          <w:vertAlign w:val="superscript"/>
        </w:rPr>
        <w:footnoteReference w:id="1"/>
      </w:r>
      <w:r w:rsidRPr="000E7E23">
        <w:rPr>
          <w:rFonts w:asciiTheme="minorHAnsi" w:hAnsiTheme="minorHAnsi"/>
        </w:rPr>
        <w:tab/>
        <w:t xml:space="preserve">     </w:t>
      </w:r>
      <w:r w:rsidR="00354B77">
        <w:rPr>
          <w:rFonts w:asciiTheme="minorHAnsi" w:hAnsiTheme="minorHAnsi"/>
        </w:rPr>
        <w:t>ENG12</w:t>
      </w:r>
      <w:r w:rsidR="00F35CB6" w:rsidRPr="000E7E23">
        <w:rPr>
          <w:rFonts w:asciiTheme="minorHAnsi" w:hAnsiTheme="minorHAnsi"/>
        </w:rPr>
        <w:t>-</w:t>
      </w:r>
      <w:r w:rsidR="00E93094">
        <w:rPr>
          <w:rFonts w:asciiTheme="minorHAnsi" w:hAnsiTheme="minorHAnsi"/>
        </w:rPr>
        <w:t>3.1.13.3</w:t>
      </w:r>
    </w:p>
    <w:p w14:paraId="34C0EDCD" w14:textId="77777777" w:rsidR="00BF32F0" w:rsidRPr="000E7E23" w:rsidRDefault="00BF32F0" w:rsidP="009E2C96">
      <w:pPr>
        <w:pStyle w:val="BodyText"/>
        <w:tabs>
          <w:tab w:val="left" w:pos="2835"/>
        </w:tabs>
        <w:rPr>
          <w:rFonts w:asciiTheme="minorHAnsi" w:hAnsiTheme="minorHAnsi"/>
        </w:rPr>
      </w:pPr>
    </w:p>
    <w:p w14:paraId="686FA085" w14:textId="77777777" w:rsidR="0080294B" w:rsidRPr="000E7E23" w:rsidRDefault="00E558C3" w:rsidP="009E2C96">
      <w:pPr>
        <w:pStyle w:val="BodyText"/>
        <w:tabs>
          <w:tab w:val="left" w:pos="2835"/>
        </w:tabs>
        <w:rPr>
          <w:rFonts w:asciiTheme="minorHAnsi" w:hAnsiTheme="minorHAnsi"/>
        </w:rPr>
      </w:pPr>
      <w:r w:rsidRPr="000E7E23">
        <w:rPr>
          <w:rFonts w:asciiTheme="minorHAnsi" w:hAnsiTheme="minorHAnsi"/>
        </w:rPr>
        <w:t xml:space="preserve">Input paper for the following Committee(s): </w:t>
      </w:r>
      <w:r w:rsidRPr="000E7E23">
        <w:rPr>
          <w:rFonts w:asciiTheme="minorHAnsi" w:hAnsiTheme="minorHAnsi"/>
        </w:rPr>
        <w:tab/>
      </w:r>
      <w:r w:rsidRPr="000E7E23">
        <w:rPr>
          <w:rFonts w:asciiTheme="minorHAnsi" w:hAnsiTheme="minorHAnsi"/>
          <w:sz w:val="18"/>
          <w:szCs w:val="18"/>
        </w:rPr>
        <w:t>check as appropriate</w:t>
      </w:r>
      <w:r w:rsidRPr="000E7E23">
        <w:rPr>
          <w:rFonts w:asciiTheme="minorHAnsi" w:hAnsiTheme="minorHAnsi"/>
          <w:sz w:val="18"/>
          <w:szCs w:val="18"/>
        </w:rPr>
        <w:tab/>
      </w:r>
      <w:r w:rsidRPr="000E7E23">
        <w:rPr>
          <w:rFonts w:asciiTheme="minorHAnsi" w:hAnsiTheme="minorHAnsi"/>
        </w:rPr>
        <w:tab/>
        <w:t>Purpose of paper:</w:t>
      </w:r>
    </w:p>
    <w:p w14:paraId="1D6E005C" w14:textId="77777777" w:rsidR="0080294B" w:rsidRPr="000E7E23" w:rsidRDefault="00E36EE9" w:rsidP="009E2C96">
      <w:pPr>
        <w:pStyle w:val="BodyText"/>
        <w:tabs>
          <w:tab w:val="left" w:pos="1843"/>
        </w:tabs>
        <w:rPr>
          <w:rFonts w:asciiTheme="minorHAnsi" w:hAnsiTheme="minorHAnsi" w:cs="Arial"/>
          <w:b/>
          <w:sz w:val="24"/>
          <w:szCs w:val="24"/>
        </w:rPr>
      </w:pPr>
      <w:r>
        <w:rPr>
          <w:rFonts w:asciiTheme="minorHAnsi" w:hAnsiTheme="minorHAnsi" w:cs="Arial"/>
          <w:sz w:val="24"/>
          <w:szCs w:val="24"/>
        </w:rPr>
        <w:t>X</w:t>
      </w:r>
      <w:r w:rsidR="0080294B" w:rsidRPr="000E7E23">
        <w:rPr>
          <w:rFonts w:asciiTheme="minorHAnsi" w:hAnsiTheme="minorHAnsi" w:cs="Arial"/>
          <w:sz w:val="24"/>
          <w:szCs w:val="24"/>
        </w:rPr>
        <w:t xml:space="preserve">  </w:t>
      </w:r>
      <w:r w:rsidR="0080294B" w:rsidRPr="000E7E23">
        <w:rPr>
          <w:rFonts w:asciiTheme="minorHAnsi" w:hAnsiTheme="minorHAnsi" w:cs="Arial"/>
        </w:rPr>
        <w:t>ARM</w:t>
      </w:r>
      <w:r w:rsidR="00037DF4" w:rsidRPr="000E7E23">
        <w:rPr>
          <w:rFonts w:asciiTheme="minorHAnsi" w:hAnsiTheme="minorHAnsi" w:cs="Arial"/>
        </w:rPr>
        <w:tab/>
      </w:r>
      <w:r w:rsidR="00A32E0E" w:rsidRPr="000E7E23">
        <w:rPr>
          <w:rFonts w:asciiTheme="minorHAnsi" w:hAnsiTheme="minorHAnsi" w:cs="Arial"/>
          <w:b/>
          <w:sz w:val="24"/>
          <w:szCs w:val="24"/>
        </w:rPr>
        <w:t>X</w:t>
      </w:r>
      <w:r w:rsidR="0080294B" w:rsidRPr="000E7E23">
        <w:rPr>
          <w:rFonts w:asciiTheme="minorHAnsi" w:hAnsiTheme="minorHAnsi" w:cs="Arial"/>
          <w:sz w:val="24"/>
          <w:szCs w:val="24"/>
        </w:rPr>
        <w:t xml:space="preserve">  </w:t>
      </w:r>
      <w:r w:rsidR="0080294B" w:rsidRPr="000E7E23">
        <w:rPr>
          <w:rFonts w:asciiTheme="minorHAnsi" w:hAnsiTheme="minorHAnsi" w:cs="Arial"/>
        </w:rPr>
        <w:t>ENG</w:t>
      </w:r>
      <w:r w:rsidR="0080294B" w:rsidRPr="000E7E23">
        <w:rPr>
          <w:rFonts w:asciiTheme="minorHAnsi" w:hAnsiTheme="minorHAnsi" w:cs="Arial"/>
        </w:rPr>
        <w:tab/>
      </w:r>
      <w:r w:rsidR="0080294B" w:rsidRPr="000E7E23">
        <w:rPr>
          <w:rFonts w:asciiTheme="minorHAnsi" w:hAnsiTheme="minorHAnsi" w:cs="Arial"/>
        </w:rPr>
        <w:tab/>
      </w:r>
      <w:r w:rsidR="0080294B" w:rsidRPr="000E7E23">
        <w:rPr>
          <w:rFonts w:asciiTheme="minorHAnsi" w:hAnsiTheme="minorHAnsi" w:cs="Arial"/>
          <w:b/>
          <w:sz w:val="24"/>
          <w:szCs w:val="24"/>
        </w:rPr>
        <w:t>□</w:t>
      </w:r>
      <w:r w:rsidR="0080294B" w:rsidRPr="000E7E23">
        <w:rPr>
          <w:rFonts w:asciiTheme="minorHAnsi" w:hAnsiTheme="minorHAnsi" w:cs="Arial"/>
          <w:sz w:val="24"/>
          <w:szCs w:val="24"/>
        </w:rPr>
        <w:t xml:space="preserve">  </w:t>
      </w:r>
      <w:r w:rsidR="0080294B" w:rsidRPr="000E7E23">
        <w:rPr>
          <w:rFonts w:asciiTheme="minorHAnsi" w:hAnsiTheme="minorHAnsi" w:cs="Arial"/>
        </w:rPr>
        <w:t>PAP</w:t>
      </w:r>
      <w:r w:rsidR="0080294B" w:rsidRPr="000E7E23">
        <w:rPr>
          <w:rFonts w:asciiTheme="minorHAnsi" w:hAnsiTheme="minorHAnsi" w:cs="Arial"/>
          <w:sz w:val="24"/>
          <w:szCs w:val="24"/>
        </w:rPr>
        <w:tab/>
      </w:r>
      <w:r w:rsidR="0080294B" w:rsidRPr="000E7E23">
        <w:rPr>
          <w:rFonts w:asciiTheme="minorHAnsi" w:hAnsiTheme="minorHAnsi" w:cs="Arial"/>
          <w:sz w:val="24"/>
          <w:szCs w:val="24"/>
        </w:rPr>
        <w:tab/>
      </w:r>
      <w:r w:rsidR="00037DF4" w:rsidRPr="000E7E23">
        <w:rPr>
          <w:rFonts w:asciiTheme="minorHAnsi" w:hAnsiTheme="minorHAnsi" w:cs="Arial"/>
          <w:sz w:val="24"/>
          <w:szCs w:val="24"/>
        </w:rPr>
        <w:tab/>
      </w:r>
      <w:r w:rsidR="00037DF4" w:rsidRPr="000E7E23">
        <w:rPr>
          <w:rFonts w:asciiTheme="minorHAnsi" w:hAnsiTheme="minorHAnsi" w:cs="Arial"/>
          <w:sz w:val="24"/>
          <w:szCs w:val="24"/>
        </w:rPr>
        <w:tab/>
      </w:r>
      <w:r w:rsidR="00037DF4" w:rsidRPr="000E7E23">
        <w:rPr>
          <w:rFonts w:asciiTheme="minorHAnsi" w:hAnsiTheme="minorHAnsi" w:cs="Arial"/>
          <w:sz w:val="24"/>
          <w:szCs w:val="24"/>
        </w:rPr>
        <w:tab/>
      </w:r>
      <w:r w:rsidR="0080294B" w:rsidRPr="000E7E23">
        <w:rPr>
          <w:rFonts w:asciiTheme="minorHAnsi" w:hAnsiTheme="minorHAnsi" w:cs="Arial"/>
          <w:b/>
          <w:sz w:val="24"/>
          <w:szCs w:val="24"/>
        </w:rPr>
        <w:t>□</w:t>
      </w:r>
      <w:r w:rsidR="0080294B" w:rsidRPr="000E7E23">
        <w:rPr>
          <w:rFonts w:asciiTheme="minorHAnsi" w:hAnsiTheme="minorHAnsi" w:cs="Arial"/>
          <w:sz w:val="24"/>
          <w:szCs w:val="24"/>
        </w:rPr>
        <w:t xml:space="preserve">  Input</w:t>
      </w:r>
    </w:p>
    <w:p w14:paraId="20108E6F" w14:textId="77777777" w:rsidR="0080294B" w:rsidRPr="000E7E23" w:rsidRDefault="00A32E0E" w:rsidP="009E2C96">
      <w:pPr>
        <w:pStyle w:val="BodyText"/>
        <w:tabs>
          <w:tab w:val="left" w:pos="1843"/>
        </w:tabs>
        <w:rPr>
          <w:rFonts w:asciiTheme="minorHAnsi" w:hAnsiTheme="minorHAnsi"/>
        </w:rPr>
      </w:pPr>
      <w:r w:rsidRPr="000E7E23">
        <w:rPr>
          <w:rFonts w:asciiTheme="minorHAnsi" w:hAnsiTheme="minorHAnsi" w:cs="Arial"/>
          <w:b/>
          <w:sz w:val="24"/>
          <w:szCs w:val="24"/>
        </w:rPr>
        <w:t>□</w:t>
      </w:r>
      <w:r w:rsidR="0080294B" w:rsidRPr="000E7E23">
        <w:rPr>
          <w:rFonts w:asciiTheme="minorHAnsi" w:hAnsiTheme="minorHAnsi" w:cs="Arial"/>
          <w:sz w:val="24"/>
          <w:szCs w:val="24"/>
        </w:rPr>
        <w:t xml:space="preserve">  </w:t>
      </w:r>
      <w:r w:rsidR="0080294B" w:rsidRPr="000E7E23">
        <w:rPr>
          <w:rFonts w:asciiTheme="minorHAnsi" w:hAnsiTheme="minorHAnsi" w:cs="Arial"/>
        </w:rPr>
        <w:t>ENAV</w:t>
      </w:r>
      <w:r w:rsidR="0080294B" w:rsidRPr="000E7E23">
        <w:rPr>
          <w:rFonts w:asciiTheme="minorHAnsi" w:hAnsiTheme="minorHAnsi" w:cs="Arial"/>
          <w:b/>
          <w:sz w:val="24"/>
          <w:szCs w:val="24"/>
        </w:rPr>
        <w:tab/>
        <w:t>□</w:t>
      </w:r>
      <w:r w:rsidR="0080294B" w:rsidRPr="000E7E23">
        <w:rPr>
          <w:rFonts w:asciiTheme="minorHAnsi" w:hAnsiTheme="minorHAnsi" w:cs="Arial"/>
          <w:sz w:val="24"/>
          <w:szCs w:val="24"/>
        </w:rPr>
        <w:t xml:space="preserve">  </w:t>
      </w:r>
      <w:r w:rsidR="003D2DC1" w:rsidRPr="000E7E23">
        <w:rPr>
          <w:rFonts w:asciiTheme="minorHAnsi" w:hAnsiTheme="minorHAnsi" w:cs="Arial"/>
        </w:rPr>
        <w:t>VTS</w:t>
      </w:r>
      <w:r w:rsidR="0080294B" w:rsidRPr="000E7E23">
        <w:rPr>
          <w:rFonts w:asciiTheme="minorHAnsi" w:hAnsiTheme="minorHAnsi" w:cs="Arial"/>
          <w:sz w:val="24"/>
          <w:szCs w:val="24"/>
        </w:rPr>
        <w:tab/>
      </w:r>
      <w:r w:rsidR="0080294B" w:rsidRPr="000E7E23">
        <w:rPr>
          <w:rFonts w:asciiTheme="minorHAnsi" w:hAnsiTheme="minorHAnsi" w:cs="Arial"/>
          <w:sz w:val="24"/>
          <w:szCs w:val="24"/>
        </w:rPr>
        <w:tab/>
      </w:r>
      <w:r w:rsidR="0080294B" w:rsidRPr="000E7E23">
        <w:rPr>
          <w:rFonts w:asciiTheme="minorHAnsi" w:hAnsiTheme="minorHAnsi" w:cs="Arial"/>
          <w:sz w:val="24"/>
          <w:szCs w:val="24"/>
        </w:rPr>
        <w:tab/>
      </w:r>
      <w:r w:rsidR="0080294B" w:rsidRPr="000E7E23">
        <w:rPr>
          <w:rFonts w:asciiTheme="minorHAnsi" w:hAnsiTheme="minorHAnsi" w:cs="Arial"/>
          <w:sz w:val="24"/>
          <w:szCs w:val="24"/>
        </w:rPr>
        <w:tab/>
      </w:r>
      <w:r w:rsidR="0080294B" w:rsidRPr="000E7E23">
        <w:rPr>
          <w:rFonts w:asciiTheme="minorHAnsi" w:hAnsiTheme="minorHAnsi" w:cs="Arial"/>
          <w:sz w:val="24"/>
          <w:szCs w:val="24"/>
        </w:rPr>
        <w:tab/>
      </w:r>
      <w:r w:rsidR="00037DF4" w:rsidRPr="000E7E23">
        <w:rPr>
          <w:rFonts w:asciiTheme="minorHAnsi" w:hAnsiTheme="minorHAnsi" w:cs="Arial"/>
          <w:sz w:val="24"/>
          <w:szCs w:val="24"/>
        </w:rPr>
        <w:tab/>
      </w:r>
      <w:r w:rsidR="00037DF4" w:rsidRPr="000E7E23">
        <w:rPr>
          <w:rFonts w:asciiTheme="minorHAnsi" w:hAnsiTheme="minorHAnsi" w:cs="Arial"/>
          <w:sz w:val="24"/>
          <w:szCs w:val="24"/>
        </w:rPr>
        <w:tab/>
      </w:r>
      <w:r w:rsidR="00E11B8C" w:rsidRPr="000E7E23">
        <w:rPr>
          <w:rFonts w:asciiTheme="minorHAnsi" w:hAnsiTheme="minorHAnsi" w:cs="Arial"/>
          <w:b/>
          <w:sz w:val="24"/>
          <w:szCs w:val="24"/>
        </w:rPr>
        <w:t>x</w:t>
      </w:r>
      <w:r w:rsidR="0080294B" w:rsidRPr="000E7E23">
        <w:rPr>
          <w:rFonts w:asciiTheme="minorHAnsi" w:hAnsiTheme="minorHAnsi" w:cs="Arial"/>
          <w:sz w:val="24"/>
          <w:szCs w:val="24"/>
        </w:rPr>
        <w:t xml:space="preserve">  Information</w:t>
      </w:r>
    </w:p>
    <w:p w14:paraId="3634F6F7" w14:textId="77777777" w:rsidR="0080294B" w:rsidRPr="000E7E23" w:rsidRDefault="0080294B" w:rsidP="009E2C96">
      <w:pPr>
        <w:pStyle w:val="BodyText"/>
        <w:tabs>
          <w:tab w:val="left" w:pos="2835"/>
        </w:tabs>
        <w:rPr>
          <w:rFonts w:asciiTheme="minorHAnsi" w:hAnsiTheme="minorHAnsi"/>
        </w:rPr>
      </w:pPr>
    </w:p>
    <w:p w14:paraId="28F335E0" w14:textId="50ABB94A" w:rsidR="00A446C9" w:rsidRPr="000E7E23" w:rsidRDefault="00A446C9" w:rsidP="009E2C96">
      <w:pPr>
        <w:pStyle w:val="BodyText"/>
        <w:tabs>
          <w:tab w:val="left" w:pos="2835"/>
        </w:tabs>
        <w:rPr>
          <w:rFonts w:asciiTheme="minorHAnsi" w:hAnsiTheme="minorHAnsi"/>
        </w:rPr>
      </w:pPr>
      <w:r w:rsidRPr="000E7E23">
        <w:rPr>
          <w:rFonts w:asciiTheme="minorHAnsi" w:hAnsiTheme="minorHAnsi"/>
        </w:rPr>
        <w:t>Agenda item</w:t>
      </w:r>
      <w:r w:rsidR="00037DF4" w:rsidRPr="000E7E23">
        <w:rPr>
          <w:rFonts w:asciiTheme="minorHAnsi" w:hAnsiTheme="minorHAnsi"/>
        </w:rPr>
        <w:t xml:space="preserve"> </w:t>
      </w:r>
      <w:r w:rsidR="00037DF4" w:rsidRPr="000E7E23">
        <w:rPr>
          <w:rStyle w:val="FootnoteReference"/>
          <w:rFonts w:asciiTheme="minorHAnsi" w:hAnsiTheme="minorHAnsi"/>
          <w:sz w:val="22"/>
          <w:vertAlign w:val="superscript"/>
        </w:rPr>
        <w:footnoteReference w:id="2"/>
      </w:r>
      <w:r w:rsidR="001C44A3" w:rsidRPr="000E7E23">
        <w:rPr>
          <w:rFonts w:asciiTheme="minorHAnsi" w:hAnsiTheme="minorHAnsi"/>
        </w:rPr>
        <w:tab/>
      </w:r>
      <w:r w:rsidR="00210AAE">
        <w:rPr>
          <w:rFonts w:asciiTheme="minorHAnsi" w:hAnsiTheme="minorHAnsi"/>
        </w:rPr>
        <w:tab/>
      </w:r>
      <w:r w:rsidR="00210AAE">
        <w:rPr>
          <w:rFonts w:asciiTheme="minorHAnsi" w:hAnsiTheme="minorHAnsi"/>
        </w:rPr>
        <w:tab/>
      </w:r>
      <w:r w:rsidR="00E93094">
        <w:rPr>
          <w:rFonts w:asciiTheme="minorHAnsi" w:hAnsiTheme="minorHAnsi"/>
        </w:rPr>
        <w:t>3.1</w:t>
      </w:r>
      <w:bookmarkStart w:id="0" w:name="_GoBack"/>
      <w:bookmarkEnd w:id="0"/>
    </w:p>
    <w:p w14:paraId="1ECFACD2" w14:textId="77777777" w:rsidR="00A446C9" w:rsidRPr="000E7E23" w:rsidRDefault="0080294B" w:rsidP="009E2C96">
      <w:pPr>
        <w:pStyle w:val="BodyText"/>
        <w:tabs>
          <w:tab w:val="left" w:pos="2835"/>
        </w:tabs>
        <w:rPr>
          <w:rFonts w:asciiTheme="minorHAnsi" w:hAnsiTheme="minorHAnsi"/>
        </w:rPr>
      </w:pPr>
      <w:r w:rsidRPr="000E7E23">
        <w:rPr>
          <w:rFonts w:asciiTheme="minorHAnsi" w:hAnsiTheme="minorHAnsi"/>
        </w:rPr>
        <w:t xml:space="preserve">Technical Domain / </w:t>
      </w:r>
      <w:r w:rsidR="00A446C9" w:rsidRPr="000E7E23">
        <w:rPr>
          <w:rFonts w:asciiTheme="minorHAnsi" w:hAnsiTheme="minorHAnsi"/>
        </w:rPr>
        <w:t>Task Number</w:t>
      </w:r>
      <w:r w:rsidR="00037DF4" w:rsidRPr="000E7E23">
        <w:rPr>
          <w:rFonts w:asciiTheme="minorHAnsi" w:hAnsiTheme="minorHAnsi"/>
        </w:rPr>
        <w:t xml:space="preserve"> </w:t>
      </w:r>
      <w:r w:rsidR="00037DF4" w:rsidRPr="000E7E23">
        <w:rPr>
          <w:rFonts w:asciiTheme="minorHAnsi" w:hAnsiTheme="minorHAnsi"/>
          <w:vertAlign w:val="superscript"/>
        </w:rPr>
        <w:t>2</w:t>
      </w:r>
      <w:r w:rsidR="001C44A3" w:rsidRPr="000E7E23">
        <w:rPr>
          <w:rFonts w:asciiTheme="minorHAnsi" w:hAnsiTheme="minorHAnsi"/>
        </w:rPr>
        <w:tab/>
      </w:r>
      <w:r w:rsidRPr="000E7E23">
        <w:rPr>
          <w:rFonts w:asciiTheme="minorHAnsi" w:hAnsiTheme="minorHAnsi"/>
        </w:rPr>
        <w:t>…………………………………</w:t>
      </w:r>
    </w:p>
    <w:p w14:paraId="2025A60B" w14:textId="77777777" w:rsidR="0080294B" w:rsidRPr="000E7E23" w:rsidRDefault="00362CD9" w:rsidP="009E2C96">
      <w:pPr>
        <w:pStyle w:val="BodyText"/>
        <w:tabs>
          <w:tab w:val="left" w:pos="2835"/>
        </w:tabs>
        <w:rPr>
          <w:rFonts w:asciiTheme="minorHAnsi" w:hAnsiTheme="minorHAnsi"/>
        </w:rPr>
      </w:pPr>
      <w:r w:rsidRPr="000E7E23">
        <w:rPr>
          <w:rFonts w:asciiTheme="minorHAnsi" w:hAnsiTheme="minorHAnsi"/>
        </w:rPr>
        <w:t>Author(s)</w:t>
      </w:r>
      <w:r w:rsidR="00FE5674" w:rsidRPr="000E7E23">
        <w:rPr>
          <w:rFonts w:asciiTheme="minorHAnsi" w:hAnsiTheme="minorHAnsi"/>
        </w:rPr>
        <w:t xml:space="preserve"> / Submitter(s)</w:t>
      </w:r>
      <w:r w:rsidRPr="000E7E23">
        <w:rPr>
          <w:rFonts w:asciiTheme="minorHAnsi" w:hAnsiTheme="minorHAnsi"/>
        </w:rPr>
        <w:tab/>
      </w:r>
      <w:r w:rsidR="0080294B" w:rsidRPr="000E7E23">
        <w:rPr>
          <w:rFonts w:asciiTheme="minorHAnsi" w:hAnsiTheme="minorHAnsi"/>
        </w:rPr>
        <w:tab/>
      </w:r>
      <w:r w:rsidR="0080294B" w:rsidRPr="000E7E23">
        <w:rPr>
          <w:rFonts w:asciiTheme="minorHAnsi" w:hAnsiTheme="minorHAnsi"/>
        </w:rPr>
        <w:tab/>
      </w:r>
      <w:r w:rsidR="00727BB0">
        <w:rPr>
          <w:rFonts w:asciiTheme="minorHAnsi" w:hAnsiTheme="minorHAnsi"/>
        </w:rPr>
        <w:t>Dr Alan Grant</w:t>
      </w:r>
    </w:p>
    <w:p w14:paraId="5F5FBED9" w14:textId="77777777" w:rsidR="00E11B8C" w:rsidRDefault="00E11B8C" w:rsidP="009E2C96">
      <w:pPr>
        <w:pStyle w:val="BodyText"/>
        <w:tabs>
          <w:tab w:val="left" w:pos="2835"/>
        </w:tabs>
      </w:pPr>
    </w:p>
    <w:p w14:paraId="77297647" w14:textId="77777777" w:rsidR="00E11B8C" w:rsidRDefault="00611E0A" w:rsidP="009E2C96">
      <w:pPr>
        <w:pStyle w:val="Title"/>
      </w:pPr>
      <w:r>
        <w:t>Planned closure</w:t>
      </w:r>
      <w:r w:rsidR="00727BB0">
        <w:t xml:space="preserve"> of </w:t>
      </w:r>
      <w:r>
        <w:t xml:space="preserve">the </w:t>
      </w:r>
      <w:r w:rsidR="00727BB0">
        <w:t>GLA DGPS Service</w:t>
      </w:r>
    </w:p>
    <w:p w14:paraId="0CAB6DC5" w14:textId="77777777" w:rsidR="00A446C9" w:rsidRDefault="00A446C9" w:rsidP="009E2C96">
      <w:pPr>
        <w:pStyle w:val="Heading1"/>
      </w:pPr>
      <w:r>
        <w:t>Summary</w:t>
      </w:r>
    </w:p>
    <w:p w14:paraId="279EC84E" w14:textId="77777777" w:rsidR="00E11B8C" w:rsidRPr="000A301F" w:rsidRDefault="00E11B8C" w:rsidP="009E2C96">
      <w:pPr>
        <w:pStyle w:val="BodyText"/>
      </w:pPr>
      <w:r>
        <w:t xml:space="preserve">This paper provides a brief overview of the </w:t>
      </w:r>
      <w:r w:rsidR="00611E0A">
        <w:t>General Lighthouse Authorities of the UK and Ireland’s (GLA) consultation on the future of its marine radiobeacon DGPS service and the conclusions drawn.</w:t>
      </w:r>
      <w:r w:rsidR="00727BB0">
        <w:t xml:space="preserve"> </w:t>
      </w:r>
    </w:p>
    <w:p w14:paraId="1177127C" w14:textId="77777777" w:rsidR="001C44A3" w:rsidRDefault="00BD4E6F" w:rsidP="009E2C96">
      <w:pPr>
        <w:pStyle w:val="Heading2"/>
      </w:pPr>
      <w:r>
        <w:t>Purpose</w:t>
      </w:r>
      <w:r w:rsidR="004D1D85">
        <w:t xml:space="preserve"> of the document</w:t>
      </w:r>
    </w:p>
    <w:p w14:paraId="200CD0BA" w14:textId="77777777" w:rsidR="00E11B8C" w:rsidRPr="000A301F" w:rsidRDefault="00E11B8C" w:rsidP="009E2C96">
      <w:pPr>
        <w:pStyle w:val="BodyText"/>
      </w:pPr>
      <w:r w:rsidRPr="000A301F">
        <w:t xml:space="preserve">To </w:t>
      </w:r>
      <w:r w:rsidR="00727BB0">
        <w:t xml:space="preserve">inform Committee members of the GLA decision and to provide information on the approach, consideration and outcome. </w:t>
      </w:r>
      <w:r w:rsidR="00611E0A">
        <w:t xml:space="preserve">  Copies of the questionnaire used in the survey along with the anonymised results of the survey will accompany this paper.</w:t>
      </w:r>
    </w:p>
    <w:p w14:paraId="26B03375" w14:textId="77777777" w:rsidR="00E11B8C" w:rsidRDefault="00727BB0" w:rsidP="009E2C96">
      <w:pPr>
        <w:pStyle w:val="Heading1"/>
      </w:pPr>
      <w:r>
        <w:t>Introduction</w:t>
      </w:r>
    </w:p>
    <w:p w14:paraId="50B2D8B5" w14:textId="77777777" w:rsidR="00727BB0" w:rsidRDefault="00727BB0" w:rsidP="00727BB0">
      <w:pPr>
        <w:pStyle w:val="BodyText"/>
      </w:pPr>
      <w:r>
        <w:t>The General Lighthouse Authorities of the UK and Ireland (GLA)</w:t>
      </w:r>
      <w:r w:rsidRPr="00727BB0">
        <w:rPr>
          <w:rStyle w:val="FootnoteReference"/>
          <w:vertAlign w:val="superscript"/>
        </w:rPr>
        <w:footnoteReference w:id="3"/>
      </w:r>
      <w:r>
        <w:t xml:space="preserve"> provide differential GPS (DGPS) to users within their waters as part of the mix of marine aids</w:t>
      </w:r>
      <w:r>
        <w:noBreakHyphen/>
        <w:t>to</w:t>
      </w:r>
      <w:r>
        <w:noBreakHyphen/>
        <w:t>navigation (AtoN) provided to keep mariners safe and to protect the environment.</w:t>
      </w:r>
    </w:p>
    <w:p w14:paraId="782BE73D" w14:textId="77777777" w:rsidR="00727BB0" w:rsidRDefault="00727BB0" w:rsidP="00727BB0">
      <w:pPr>
        <w:pStyle w:val="BodyText"/>
      </w:pPr>
      <w:r>
        <w:t>The GLA DGPS system was first introduced in 1995 as a trial system, being formally declared operation in 1997.  The system consists of 14 DGPS reference stations</w:t>
      </w:r>
      <w:r w:rsidRPr="00763742">
        <w:t xml:space="preserve"> </w:t>
      </w:r>
      <w:r>
        <w:t xml:space="preserve">(as shown in Figure 1), 6 far-field monitoring sites and 3 monitoring and control sites.  The system is operated as a single AtoN, albeit one operated and maintained by three authorities.  </w:t>
      </w:r>
    </w:p>
    <w:p w14:paraId="4752FD61" w14:textId="77777777" w:rsidR="00727BB0" w:rsidRDefault="00727BB0" w:rsidP="00727BB0">
      <w:pPr>
        <w:pStyle w:val="BodyText"/>
      </w:pPr>
      <w:r>
        <w:t xml:space="preserve">While originally developed to counter position errors introduced by Selective Availability (SA), the main benefit became position integrity once SA was switched off in 2000.  </w:t>
      </w:r>
    </w:p>
    <w:p w14:paraId="55CF5392" w14:textId="77777777" w:rsidR="00727BB0" w:rsidRDefault="00727BB0" w:rsidP="00727BB0">
      <w:pPr>
        <w:pStyle w:val="BodyText"/>
      </w:pPr>
    </w:p>
    <w:p w14:paraId="0DC5E002" w14:textId="77777777" w:rsidR="00A93ADB" w:rsidRDefault="00727BB0" w:rsidP="00A93ADB">
      <w:pPr>
        <w:keepNext/>
        <w:jc w:val="center"/>
      </w:pPr>
      <w:r w:rsidRPr="00325C8D">
        <w:rPr>
          <w:noProof/>
        </w:rPr>
        <w:lastRenderedPageBreak/>
        <w:drawing>
          <wp:inline distT="0" distB="0" distL="0" distR="0" wp14:anchorId="3CD0291D" wp14:editId="18C61423">
            <wp:extent cx="2538375" cy="2336523"/>
            <wp:effectExtent l="0" t="0" r="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a:extLst>
                        <a:ext uri="{28A0092B-C50C-407E-A947-70E740481C1C}">
                          <a14:useLocalDpi xmlns:a14="http://schemas.microsoft.com/office/drawing/2010/main" val="0"/>
                        </a:ext>
                      </a:extLst>
                    </a:blip>
                    <a:srcRect l="18781" t="5316" r="19557" b="15755"/>
                    <a:stretch/>
                  </pic:blipFill>
                  <pic:spPr bwMode="auto">
                    <a:xfrm>
                      <a:off x="0" y="0"/>
                      <a:ext cx="2556641" cy="2353337"/>
                    </a:xfrm>
                    <a:prstGeom prst="rect">
                      <a:avLst/>
                    </a:prstGeom>
                    <a:noFill/>
                    <a:ln>
                      <a:noFill/>
                    </a:ln>
                    <a:extLst>
                      <a:ext uri="{53640926-AAD7-44D8-BBD7-CCE9431645EC}">
                        <a14:shadowObscured xmlns:a14="http://schemas.microsoft.com/office/drawing/2010/main"/>
                      </a:ext>
                    </a:extLst>
                  </pic:spPr>
                </pic:pic>
              </a:graphicData>
            </a:graphic>
          </wp:inline>
        </w:drawing>
      </w:r>
    </w:p>
    <w:p w14:paraId="7B2F69A4" w14:textId="77777777" w:rsidR="00727BB0" w:rsidRDefault="00727BB0" w:rsidP="00A93ADB">
      <w:pPr>
        <w:pStyle w:val="Figure"/>
        <w:numPr>
          <w:ilvl w:val="0"/>
          <w:numId w:val="0"/>
        </w:numPr>
        <w:ind w:left="1134"/>
        <w:rPr>
          <w:u w:val="single"/>
        </w:rPr>
      </w:pPr>
      <w:r>
        <w:t xml:space="preserve">Figure </w:t>
      </w:r>
      <w:r w:rsidR="00E93094">
        <w:fldChar w:fldCharType="begin"/>
      </w:r>
      <w:r w:rsidR="00E93094">
        <w:instrText xml:space="preserve"> SEQ Figure \* ARABIC </w:instrText>
      </w:r>
      <w:r w:rsidR="00E93094">
        <w:fldChar w:fldCharType="separate"/>
      </w:r>
      <w:r w:rsidR="00A93ADB">
        <w:rPr>
          <w:noProof/>
        </w:rPr>
        <w:t>1</w:t>
      </w:r>
      <w:r w:rsidR="00E93094">
        <w:rPr>
          <w:noProof/>
        </w:rPr>
        <w:fldChar w:fldCharType="end"/>
      </w:r>
      <w:r>
        <w:t>: Location of the 14 GLA DGPS reference stations</w:t>
      </w:r>
    </w:p>
    <w:p w14:paraId="64F4AC44" w14:textId="77777777" w:rsidR="00727BB0" w:rsidRPr="00727BB0" w:rsidRDefault="00727BB0" w:rsidP="00727BB0">
      <w:pPr>
        <w:pStyle w:val="BodyText"/>
        <w:rPr>
          <w:lang w:eastAsia="de-DE"/>
        </w:rPr>
      </w:pPr>
    </w:p>
    <w:p w14:paraId="198197EE" w14:textId="77777777" w:rsidR="00E11B8C" w:rsidRDefault="00727BB0" w:rsidP="009E2C96">
      <w:pPr>
        <w:pStyle w:val="Heading1"/>
      </w:pPr>
      <w:r>
        <w:t>User consultation</w:t>
      </w:r>
    </w:p>
    <w:p w14:paraId="1BAE362B" w14:textId="77777777" w:rsidR="00727BB0" w:rsidRDefault="00727BB0" w:rsidP="00727BB0">
      <w:pPr>
        <w:pStyle w:val="BodyText"/>
        <w:rPr>
          <w:lang w:eastAsia="de-DE"/>
        </w:rPr>
      </w:pPr>
      <w:r>
        <w:rPr>
          <w:lang w:eastAsia="de-DE"/>
        </w:rPr>
        <w:t>The GLA service was partially replaced around a decade ago.  Subsequently, the current infrastructure is approaching the end of its design life and the GLA conducted a stakeholder consultation to assess the requirements for the service going forward.</w:t>
      </w:r>
    </w:p>
    <w:p w14:paraId="0560C5A6" w14:textId="77777777" w:rsidR="00727BB0" w:rsidRDefault="00727BB0" w:rsidP="00727BB0">
      <w:pPr>
        <w:pStyle w:val="BodyText"/>
        <w:rPr>
          <w:lang w:eastAsia="de-DE"/>
        </w:rPr>
      </w:pPr>
      <w:r>
        <w:rPr>
          <w:lang w:eastAsia="de-DE"/>
        </w:rPr>
        <w:t>The consultation process sought input from stakeholders across the maritime sector, and beyond, through direct engagement and via a widely circulated user survey.  GLA personnel interviewed vessel crews from across the UK and Ireland, and 153 people responded to the survey.  Figure 2 provides an overview of the different respondent groups</w:t>
      </w:r>
      <w:r w:rsidR="00A93ADB">
        <w:rPr>
          <w:lang w:eastAsia="de-DE"/>
        </w:rPr>
        <w:t xml:space="preserve"> to the survey</w:t>
      </w:r>
      <w:r>
        <w:rPr>
          <w:lang w:eastAsia="de-DE"/>
        </w:rPr>
        <w:t xml:space="preserve"> along with their percentage of total responses.  </w:t>
      </w:r>
    </w:p>
    <w:p w14:paraId="6C8B235B" w14:textId="77777777" w:rsidR="00727BB0" w:rsidRDefault="00727BB0" w:rsidP="00727BB0">
      <w:pPr>
        <w:pStyle w:val="BodyText"/>
        <w:rPr>
          <w:lang w:eastAsia="de-DE"/>
        </w:rPr>
      </w:pPr>
    </w:p>
    <w:p w14:paraId="30D840C9" w14:textId="77777777" w:rsidR="00727BB0" w:rsidRDefault="00A93ADB" w:rsidP="00A93ADB">
      <w:pPr>
        <w:pStyle w:val="BodyText"/>
        <w:jc w:val="center"/>
        <w:rPr>
          <w:lang w:eastAsia="de-DE"/>
        </w:rPr>
      </w:pPr>
      <w:r>
        <w:rPr>
          <w:noProof/>
        </w:rPr>
        <w:drawing>
          <wp:inline distT="0" distB="0" distL="0" distR="0" wp14:anchorId="700F6C1F" wp14:editId="1AB3E6C9">
            <wp:extent cx="2520086" cy="2188450"/>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6159" t="1568" r="12951" b="1251"/>
                    <a:stretch/>
                  </pic:blipFill>
                  <pic:spPr bwMode="auto">
                    <a:xfrm>
                      <a:off x="0" y="0"/>
                      <a:ext cx="2532417" cy="2199158"/>
                    </a:xfrm>
                    <a:prstGeom prst="rect">
                      <a:avLst/>
                    </a:prstGeom>
                    <a:noFill/>
                    <a:ln>
                      <a:noFill/>
                    </a:ln>
                    <a:extLst>
                      <a:ext uri="{53640926-AAD7-44D8-BBD7-CCE9431645EC}">
                        <a14:shadowObscured xmlns:a14="http://schemas.microsoft.com/office/drawing/2010/main"/>
                      </a:ext>
                    </a:extLst>
                  </pic:spPr>
                </pic:pic>
              </a:graphicData>
            </a:graphic>
          </wp:inline>
        </w:drawing>
      </w:r>
    </w:p>
    <w:p w14:paraId="733A3A0E" w14:textId="77777777" w:rsidR="00A93ADB" w:rsidRDefault="00727BB0" w:rsidP="00A93ADB">
      <w:pPr>
        <w:pStyle w:val="Figure"/>
        <w:numPr>
          <w:ilvl w:val="0"/>
          <w:numId w:val="0"/>
        </w:numPr>
        <w:rPr>
          <w:lang w:eastAsia="de-DE"/>
        </w:rPr>
      </w:pPr>
      <w:r>
        <w:rPr>
          <w:lang w:eastAsia="de-DE"/>
        </w:rPr>
        <w:t>Figure 2: Percentage of survey responses received from different stakeholders and potential users</w:t>
      </w:r>
    </w:p>
    <w:p w14:paraId="1BD21F87" w14:textId="77777777" w:rsidR="00A93ADB" w:rsidRDefault="00A93ADB" w:rsidP="00A93ADB">
      <w:pPr>
        <w:pStyle w:val="BodyText"/>
        <w:rPr>
          <w:lang w:eastAsia="de-DE"/>
        </w:rPr>
      </w:pPr>
      <w:r>
        <w:rPr>
          <w:lang w:eastAsia="de-DE"/>
        </w:rPr>
        <w:t>It can be seen that the vast majority of responses were from mariners and maritime operators (e.g. engineer, scientific officer, operations manager, harbour master etc.).  Such responses presented mariners operating a wide range of vessels including ferries, container ships, tankers, liquid natural gas carriers, bulk carriers and leisure craft.</w:t>
      </w:r>
    </w:p>
    <w:p w14:paraId="67103C02" w14:textId="77777777" w:rsidR="00727BB0" w:rsidRDefault="00727BB0" w:rsidP="00727BB0">
      <w:pPr>
        <w:pStyle w:val="BodyText"/>
        <w:rPr>
          <w:lang w:eastAsia="de-DE"/>
        </w:rPr>
      </w:pPr>
      <w:r>
        <w:rPr>
          <w:lang w:eastAsia="de-DE"/>
        </w:rPr>
        <w:t>The survey resulted in a mix of responses, with the majority of mariners reporting that they use the GLA DGPS system for accuracy improvements and integrity, as one may expect, while others rep</w:t>
      </w:r>
      <w:r w:rsidR="00A93ADB">
        <w:rPr>
          <w:lang w:eastAsia="de-DE"/>
        </w:rPr>
        <w:t>orted that they do not use it at all.</w:t>
      </w:r>
    </w:p>
    <w:p w14:paraId="74DAFAE1" w14:textId="77777777" w:rsidR="00727BB0" w:rsidRDefault="00727BB0" w:rsidP="00727BB0">
      <w:pPr>
        <w:pStyle w:val="BodyText"/>
        <w:rPr>
          <w:lang w:eastAsia="de-DE"/>
        </w:rPr>
      </w:pPr>
      <w:r>
        <w:rPr>
          <w:lang w:eastAsia="de-DE"/>
        </w:rPr>
        <w:lastRenderedPageBreak/>
        <w:t>Mariners were asked which GNSS constellations they used today and those they expected to use in the future.  All mariners reported using GPS today with around 40% also making use of GLONASS, and around 9% using Galileo too.  From the response received, it is expected that m</w:t>
      </w:r>
      <w:r w:rsidR="00A93ADB">
        <w:rPr>
          <w:lang w:eastAsia="de-DE"/>
        </w:rPr>
        <w:t>ore mariners will move to multi</w:t>
      </w:r>
      <w:r w:rsidR="00A93ADB">
        <w:rPr>
          <w:lang w:eastAsia="de-DE"/>
        </w:rPr>
        <w:noBreakHyphen/>
      </w:r>
      <w:r>
        <w:rPr>
          <w:lang w:eastAsia="de-DE"/>
        </w:rPr>
        <w:t xml:space="preserve">constellation receivers, making use of GPS, GLONASS, Galileo and </w:t>
      </w:r>
      <w:proofErr w:type="spellStart"/>
      <w:r>
        <w:rPr>
          <w:lang w:eastAsia="de-DE"/>
        </w:rPr>
        <w:t>BeiDou</w:t>
      </w:r>
      <w:proofErr w:type="spellEnd"/>
      <w:r>
        <w:rPr>
          <w:lang w:eastAsia="de-DE"/>
        </w:rPr>
        <w:t>, over the next 5-10 years.</w:t>
      </w:r>
    </w:p>
    <w:p w14:paraId="0FD787FF" w14:textId="77777777" w:rsidR="00727BB0" w:rsidRPr="00727BB0" w:rsidRDefault="00727BB0" w:rsidP="00727BB0">
      <w:pPr>
        <w:pStyle w:val="BodyText"/>
        <w:rPr>
          <w:lang w:eastAsia="de-DE"/>
        </w:rPr>
      </w:pPr>
      <w:r>
        <w:rPr>
          <w:lang w:eastAsia="de-DE"/>
        </w:rPr>
        <w:t>Face-to-face discussions concluded a similar mix of views; while the majority considered the GLA DGPS system a useful service, others reported that it wasn’t used. It was noted that DGPS works quietly in the background and therefore can be inconspicuous on the bridge until it is unable to work correctly at which point an alarm is raised to inform the bridge crew.</w:t>
      </w:r>
    </w:p>
    <w:p w14:paraId="5A88F7A9" w14:textId="77777777" w:rsidR="00727BB0" w:rsidRDefault="00A93ADB" w:rsidP="00727BB0">
      <w:pPr>
        <w:pStyle w:val="Heading1"/>
      </w:pPr>
      <w:r>
        <w:t xml:space="preserve">Other factors </w:t>
      </w:r>
      <w:r w:rsidR="00611E0A">
        <w:t>for consideration</w:t>
      </w:r>
    </w:p>
    <w:p w14:paraId="5391E6CF" w14:textId="77777777" w:rsidR="00A93ADB" w:rsidRDefault="00A93ADB" w:rsidP="00A93ADB">
      <w:pPr>
        <w:pStyle w:val="BodyText"/>
        <w:rPr>
          <w:lang w:eastAsia="de-DE"/>
        </w:rPr>
      </w:pPr>
      <w:r>
        <w:rPr>
          <w:lang w:eastAsia="de-DE"/>
        </w:rPr>
        <w:t xml:space="preserve">When considering maritime equipment evolution, it’s worth noting that marine radiobeacon DGPS is not mandated by the International Maritime Organization (IMO) for carriage on SOLAS vessels, although it is provided for in all maritime receiver standards and the spectrum is allocated internationally.   </w:t>
      </w:r>
    </w:p>
    <w:p w14:paraId="1F5079EE" w14:textId="77777777" w:rsidR="00A93ADB" w:rsidRDefault="00A93ADB" w:rsidP="00A93ADB">
      <w:pPr>
        <w:pStyle w:val="BodyText"/>
        <w:rPr>
          <w:lang w:eastAsia="de-DE"/>
        </w:rPr>
      </w:pPr>
      <w:r>
        <w:rPr>
          <w:lang w:eastAsia="de-DE"/>
        </w:rPr>
        <w:t xml:space="preserve">Following a change in maritime receiver standards in 2003, all receivers now include Receiver Autonomous Integrity Monitoring (RAIM).  As the name suggests it’s another means of determining integrity, i.e. whether the position solution is safe to use.  It was also recognised that differential corrections are available from other sources and that work is under way in Europe to introduce a maritime service to EGNOS, the European SBAS.  Maritime SBAS, via EGNOS, is expected to be available around 2022.  </w:t>
      </w:r>
    </w:p>
    <w:p w14:paraId="6D62540F" w14:textId="77777777" w:rsidR="00A93ADB" w:rsidRDefault="00A93ADB" w:rsidP="00A93ADB">
      <w:pPr>
        <w:pStyle w:val="BodyText"/>
        <w:rPr>
          <w:lang w:eastAsia="de-DE"/>
        </w:rPr>
      </w:pPr>
      <w:r>
        <w:rPr>
          <w:lang w:eastAsia="de-DE"/>
        </w:rPr>
        <w:t>It is important to note that today’s maritime receivers are not tested for how they apply SBAS data as that functionality is not part of the current receiver standards, however work is in hand to update these.  Mariners wishing to take advantage of SBAS information in the future would need to upgrade their receiver to one that is type approved for SBAS use (expected 2022-23).</w:t>
      </w:r>
    </w:p>
    <w:p w14:paraId="703FB0EB" w14:textId="77777777" w:rsidR="00A93ADB" w:rsidRDefault="00A93ADB" w:rsidP="00A93ADB">
      <w:pPr>
        <w:pStyle w:val="BodyText"/>
        <w:rPr>
          <w:lang w:eastAsia="de-DE"/>
        </w:rPr>
      </w:pPr>
      <w:r>
        <w:rPr>
          <w:lang w:eastAsia="de-DE"/>
        </w:rPr>
        <w:t xml:space="preserve">Also of interest is the expected move by mariners </w:t>
      </w:r>
      <w:r w:rsidR="00611E0A">
        <w:rPr>
          <w:lang w:eastAsia="de-DE"/>
        </w:rPr>
        <w:t>towards</w:t>
      </w:r>
      <w:r>
        <w:rPr>
          <w:lang w:eastAsia="de-DE"/>
        </w:rPr>
        <w:t xml:space="preserve"> multi-GNSS</w:t>
      </w:r>
      <w:r w:rsidR="00611E0A">
        <w:rPr>
          <w:lang w:eastAsia="de-DE"/>
        </w:rPr>
        <w:t xml:space="preserve"> (and multi-frequency)</w:t>
      </w:r>
      <w:r>
        <w:rPr>
          <w:lang w:eastAsia="de-DE"/>
        </w:rPr>
        <w:t xml:space="preserve"> positioning over the next 5-10 years</w:t>
      </w:r>
      <w:r w:rsidR="00611E0A">
        <w:rPr>
          <w:lang w:eastAsia="de-DE"/>
        </w:rPr>
        <w:t>; which questions</w:t>
      </w:r>
      <w:r>
        <w:rPr>
          <w:lang w:eastAsia="de-DE"/>
        </w:rPr>
        <w:t xml:space="preserve"> the longevity of </w:t>
      </w:r>
      <w:r w:rsidR="00611E0A">
        <w:rPr>
          <w:lang w:eastAsia="de-DE"/>
        </w:rPr>
        <w:t xml:space="preserve">a </w:t>
      </w:r>
      <w:r>
        <w:rPr>
          <w:lang w:eastAsia="de-DE"/>
        </w:rPr>
        <w:t>single GNSS augmentation</w:t>
      </w:r>
      <w:r w:rsidR="00611E0A">
        <w:rPr>
          <w:lang w:eastAsia="de-DE"/>
        </w:rPr>
        <w:t xml:space="preserve"> approach.</w:t>
      </w:r>
      <w:r>
        <w:rPr>
          <w:lang w:eastAsia="de-DE"/>
        </w:rPr>
        <w:t xml:space="preserve"> </w:t>
      </w:r>
    </w:p>
    <w:p w14:paraId="56730FBF" w14:textId="77777777" w:rsidR="00611E0A" w:rsidRDefault="00611E0A" w:rsidP="00727BB0">
      <w:pPr>
        <w:pStyle w:val="Heading1"/>
      </w:pPr>
      <w:r>
        <w:t>GLA decision and planned outcomes</w:t>
      </w:r>
    </w:p>
    <w:p w14:paraId="172FED47" w14:textId="77777777" w:rsidR="00611E0A" w:rsidRDefault="00611E0A" w:rsidP="00611E0A">
      <w:pPr>
        <w:pStyle w:val="BodyText"/>
      </w:pPr>
      <w:r>
        <w:t>After careful consideration of the results of the consultation process, recognising that today’s GNSS are able to meet all but the most stringent accuracy requirements, and that position integrity can be provided by alternative means (RAIM or by mariner’s validating their position via other visual and electronic aids</w:t>
      </w:r>
      <w:r>
        <w:noBreakHyphen/>
        <w:t>to</w:t>
      </w:r>
      <w:r>
        <w:noBreakHyphen/>
        <w:t xml:space="preserve">navigation), the GLA have concluded that their DGPS system is now redundant.   </w:t>
      </w:r>
    </w:p>
    <w:p w14:paraId="24AE7CEF" w14:textId="77777777" w:rsidR="00611E0A" w:rsidRDefault="00611E0A" w:rsidP="00611E0A">
      <w:pPr>
        <w:pStyle w:val="BodyText"/>
      </w:pPr>
      <w:r>
        <w:t>The GLA recognise the need to provide adequate notice and support continuity of service going forward.  As such, the GLA DGPS system will remain operational until 31</w:t>
      </w:r>
      <w:r w:rsidRPr="00856255">
        <w:rPr>
          <w:vertAlign w:val="superscript"/>
        </w:rPr>
        <w:t>st</w:t>
      </w:r>
      <w:r>
        <w:t xml:space="preserve"> March 2022, at which point the signals will cease. </w:t>
      </w:r>
    </w:p>
    <w:p w14:paraId="54FBA2E2" w14:textId="77777777" w:rsidR="00611E0A" w:rsidRDefault="00611E0A" w:rsidP="00611E0A">
      <w:pPr>
        <w:pStyle w:val="BodyText"/>
      </w:pPr>
      <w:r>
        <w:t xml:space="preserve">It is recognised that while SBAS, such as EGNOS across Europe, should provide useful services to the mariner in time, there is no guarantee that they will come to fruition. Similarly, it is anticipated that alternative sources of integrity will continue to improve as mariners move to multiple satellite constellation receivers, with more satellites and signals available, and as RAIM algorithms advance.  The use of all available satellite constellations with advanced RAIM algorithms in the future is expected to provide greater positional accuracy and integrity than is available today with marine radiobeacon DGPS. </w:t>
      </w:r>
    </w:p>
    <w:p w14:paraId="54A48B92" w14:textId="77777777" w:rsidR="00E11B8C" w:rsidRDefault="00E11B8C" w:rsidP="009E2C96">
      <w:pPr>
        <w:pStyle w:val="Heading1"/>
      </w:pPr>
      <w:r>
        <w:t>Action requested of the Committee</w:t>
      </w:r>
    </w:p>
    <w:p w14:paraId="478B4737" w14:textId="77777777" w:rsidR="00E11B8C" w:rsidRDefault="00E11B8C" w:rsidP="009E2C96">
      <w:pPr>
        <w:pStyle w:val="BodyText"/>
      </w:pPr>
      <w:r>
        <w:t>The Committee is requested to:</w:t>
      </w:r>
    </w:p>
    <w:p w14:paraId="4537E764" w14:textId="77777777" w:rsidR="00E11B8C" w:rsidRDefault="00727BB0" w:rsidP="009E2C96">
      <w:pPr>
        <w:pStyle w:val="List1"/>
        <w:numPr>
          <w:ilvl w:val="0"/>
          <w:numId w:val="46"/>
        </w:numPr>
      </w:pPr>
      <w:r>
        <w:t xml:space="preserve">Note the GLA decision and the scheduled closure date. </w:t>
      </w:r>
    </w:p>
    <w:sectPr w:rsidR="00E11B8C" w:rsidSect="00727BB0">
      <w:headerReference w:type="default" r:id="rId13"/>
      <w:footerReference w:type="default" r:id="rId14"/>
      <w:pgSz w:w="11906" w:h="16838"/>
      <w:pgMar w:top="1559"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C8DE57" w14:textId="77777777" w:rsidR="00042EC9" w:rsidRDefault="00042EC9" w:rsidP="00362CD9">
      <w:r>
        <w:separator/>
      </w:r>
    </w:p>
  </w:endnote>
  <w:endnote w:type="continuationSeparator" w:id="0">
    <w:p w14:paraId="2B06B20F" w14:textId="77777777" w:rsidR="00042EC9" w:rsidRDefault="00042EC9"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CA4BA7" w14:textId="77777777" w:rsidR="00362CD9" w:rsidRDefault="00362CD9">
    <w:pPr>
      <w:pStyle w:val="Footer"/>
    </w:pPr>
    <w:r>
      <w:tab/>
    </w:r>
    <w:r>
      <w:fldChar w:fldCharType="begin"/>
    </w:r>
    <w:r>
      <w:instrText xml:space="preserve"> PAGE   \* MERGEFORMAT </w:instrText>
    </w:r>
    <w:r>
      <w:fldChar w:fldCharType="separate"/>
    </w:r>
    <w:r w:rsidR="00E36EE9">
      <w:rPr>
        <w:noProof/>
      </w:rPr>
      <w:t>3</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C51AB6" w14:textId="77777777" w:rsidR="00042EC9" w:rsidRDefault="00042EC9" w:rsidP="00362CD9">
      <w:r>
        <w:separator/>
      </w:r>
    </w:p>
  </w:footnote>
  <w:footnote w:type="continuationSeparator" w:id="0">
    <w:p w14:paraId="599E982D" w14:textId="77777777" w:rsidR="00042EC9" w:rsidRDefault="00042EC9" w:rsidP="00362CD9">
      <w:r>
        <w:continuationSeparator/>
      </w:r>
    </w:p>
  </w:footnote>
  <w:footnote w:id="1">
    <w:p w14:paraId="3440CAF1" w14:textId="77777777" w:rsidR="00420A38" w:rsidRPr="00EA5A97" w:rsidRDefault="00420A38">
      <w:pPr>
        <w:pStyle w:val="FootnoteText"/>
        <w:rPr>
          <w:lang w:val="en-US"/>
        </w:rPr>
      </w:pPr>
      <w:r>
        <w:rPr>
          <w:rStyle w:val="FootnoteReference"/>
        </w:rPr>
        <w:footnoteRef/>
      </w:r>
      <w:r>
        <w:t xml:space="preserve"> </w:t>
      </w:r>
      <w:r w:rsidR="00EA5A97" w:rsidRPr="00420A38">
        <w:rPr>
          <w:sz w:val="16"/>
          <w:szCs w:val="16"/>
        </w:rPr>
        <w:t>Input document number, to be assigned by the Committee Secretary</w:t>
      </w:r>
    </w:p>
  </w:footnote>
  <w:footnote w:id="2">
    <w:p w14:paraId="34B65C2A" w14:textId="77777777" w:rsidR="00037DF4" w:rsidRPr="00037DF4" w:rsidRDefault="00037DF4">
      <w:pPr>
        <w:pStyle w:val="FootnoteText"/>
      </w:pPr>
      <w:r w:rsidRPr="00037DF4">
        <w:rPr>
          <w:rStyle w:val="FootnoteReference"/>
        </w:rPr>
        <w:footnoteRef/>
      </w:r>
      <w:r w:rsidRPr="00037DF4">
        <w:t xml:space="preserve"> </w:t>
      </w:r>
      <w:r w:rsidRPr="00037DF4">
        <w:rPr>
          <w:sz w:val="16"/>
          <w:szCs w:val="16"/>
        </w:rPr>
        <w:t>Leave open if uncertain</w:t>
      </w:r>
    </w:p>
  </w:footnote>
  <w:footnote w:id="3">
    <w:p w14:paraId="52FA7E37" w14:textId="77777777" w:rsidR="00727BB0" w:rsidRDefault="00727BB0" w:rsidP="00727BB0">
      <w:pPr>
        <w:pStyle w:val="FootnoteText"/>
      </w:pPr>
      <w:r>
        <w:rPr>
          <w:rStyle w:val="FootnoteReference"/>
        </w:rPr>
        <w:footnoteRef/>
      </w:r>
      <w:r>
        <w:t xml:space="preserve"> GLA comprises of The Commissioners of Irish lights, The Northern Lighthouse Board and Trinity House.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9FE917" w14:textId="77777777" w:rsidR="00FF3298" w:rsidRDefault="00FF3298">
    <w:pPr>
      <w:pStyle w:val="Header"/>
    </w:pPr>
    <w:r>
      <w:rPr>
        <w:noProof/>
      </w:rPr>
      <w:drawing>
        <wp:anchor distT="0" distB="0" distL="114300" distR="114300" simplePos="0" relativeHeight="251658240" behindDoc="0" locked="0" layoutInCell="1" allowOverlap="1" wp14:anchorId="00282E01" wp14:editId="20797BE9">
          <wp:simplePos x="0" y="0"/>
          <wp:positionH relativeFrom="column">
            <wp:posOffset>2461578</wp:posOffset>
          </wp:positionH>
          <wp:positionV relativeFrom="paragraph">
            <wp:posOffset>-445770</wp:posOffset>
          </wp:positionV>
          <wp:extent cx="938219" cy="914407"/>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938219" cy="914407"/>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lvlText w:val="%1)"/>
      <w:lvlJc w:val="left"/>
      <w:pPr>
        <w:tabs>
          <w:tab w:val="num" w:pos="360"/>
        </w:tabs>
        <w:ind w:left="360" w:hanging="360"/>
      </w:pPr>
    </w:lvl>
  </w:abstractNum>
  <w:abstractNum w:abstractNumId="2" w15:restartNumberingAfterBreak="0">
    <w:nsid w:val="03A21C71"/>
    <w:multiLevelType w:val="hybridMultilevel"/>
    <w:tmpl w:val="56B00160"/>
    <w:lvl w:ilvl="0" w:tplc="81E8417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auto"/>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15:restartNumberingAfterBreak="0">
    <w:nsid w:val="0B461DBD"/>
    <w:multiLevelType w:val="hybridMultilevel"/>
    <w:tmpl w:val="59D843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0BA57BDD"/>
    <w:multiLevelType w:val="hybridMultilevel"/>
    <w:tmpl w:val="3D66F9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C886066"/>
    <w:multiLevelType w:val="hybridMultilevel"/>
    <w:tmpl w:val="0870229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9"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1"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2"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5"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0"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1"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3"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4" w15:restartNumberingAfterBreak="0">
    <w:nsid w:val="60585238"/>
    <w:multiLevelType w:val="multilevel"/>
    <w:tmpl w:val="98F0A0DE"/>
    <w:lvl w:ilvl="0">
      <w:start w:val="1"/>
      <w:numFmt w:val="upperLetter"/>
      <w:pStyle w:val="Annex"/>
      <w:lvlText w:val="ANNEX %1"/>
      <w:lvlJc w:val="left"/>
      <w:pPr>
        <w:ind w:left="360"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6"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0"/>
  </w:num>
  <w:num w:numId="3">
    <w:abstractNumId w:val="10"/>
  </w:num>
  <w:num w:numId="4">
    <w:abstractNumId w:val="24"/>
  </w:num>
  <w:num w:numId="5">
    <w:abstractNumId w:val="18"/>
  </w:num>
  <w:num w:numId="6">
    <w:abstractNumId w:val="5"/>
  </w:num>
  <w:num w:numId="7">
    <w:abstractNumId w:val="26"/>
  </w:num>
  <w:num w:numId="8">
    <w:abstractNumId w:val="13"/>
  </w:num>
  <w:num w:numId="9">
    <w:abstractNumId w:val="11"/>
  </w:num>
  <w:num w:numId="10">
    <w:abstractNumId w:val="20"/>
  </w:num>
  <w:num w:numId="11">
    <w:abstractNumId w:val="19"/>
  </w:num>
  <w:num w:numId="12">
    <w:abstractNumId w:val="17"/>
  </w:num>
  <w:num w:numId="13">
    <w:abstractNumId w:val="25"/>
  </w:num>
  <w:num w:numId="14">
    <w:abstractNumId w:val="8"/>
  </w:num>
  <w:num w:numId="15">
    <w:abstractNumId w:val="27"/>
  </w:num>
  <w:num w:numId="16">
    <w:abstractNumId w:val="16"/>
  </w:num>
  <w:num w:numId="17">
    <w:abstractNumId w:val="9"/>
  </w:num>
  <w:num w:numId="18">
    <w:abstractNumId w:val="22"/>
  </w:num>
  <w:num w:numId="19">
    <w:abstractNumId w:val="16"/>
  </w:num>
  <w:num w:numId="20">
    <w:abstractNumId w:val="16"/>
  </w:num>
  <w:num w:numId="21">
    <w:abstractNumId w:val="16"/>
  </w:num>
  <w:num w:numId="22">
    <w:abstractNumId w:val="16"/>
  </w:num>
  <w:num w:numId="23">
    <w:abstractNumId w:val="23"/>
  </w:num>
  <w:num w:numId="24">
    <w:abstractNumId w:val="3"/>
  </w:num>
  <w:num w:numId="25">
    <w:abstractNumId w:val="3"/>
  </w:num>
  <w:num w:numId="26">
    <w:abstractNumId w:val="3"/>
  </w:num>
  <w:num w:numId="27">
    <w:abstractNumId w:val="12"/>
  </w:num>
  <w:num w:numId="28">
    <w:abstractNumId w:val="12"/>
  </w:num>
  <w:num w:numId="29">
    <w:abstractNumId w:val="12"/>
  </w:num>
  <w:num w:numId="30">
    <w:abstractNumId w:val="12"/>
  </w:num>
  <w:num w:numId="31">
    <w:abstractNumId w:val="12"/>
  </w:num>
  <w:num w:numId="32">
    <w:abstractNumId w:val="12"/>
  </w:num>
  <w:num w:numId="33">
    <w:abstractNumId w:val="21"/>
  </w:num>
  <w:num w:numId="34">
    <w:abstractNumId w:val="21"/>
  </w:num>
  <w:num w:numId="35">
    <w:abstractNumId w:val="21"/>
  </w:num>
  <w:num w:numId="36">
    <w:abstractNumId w:val="14"/>
  </w:num>
  <w:num w:numId="37">
    <w:abstractNumId w:val="8"/>
  </w:num>
  <w:num w:numId="38">
    <w:abstractNumId w:val="17"/>
  </w:num>
  <w:num w:numId="3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 w:numId="4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num>
  <w:num w:numId="44">
    <w:abstractNumId w:val="15"/>
  </w:num>
  <w:num w:numId="45">
    <w:abstractNumId w:val="4"/>
  </w:num>
  <w:num w:numId="46">
    <w:abstractNumId w:val="6"/>
  </w:num>
  <w:num w:numId="47">
    <w:abstractNumId w:val="7"/>
  </w:num>
  <w:num w:numId="48">
    <w:abstractNumId w:val="8"/>
  </w:num>
  <w:num w:numId="49">
    <w:abstractNumId w:val="8"/>
  </w:num>
  <w:num w:numId="50">
    <w:abstractNumId w:val="8"/>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defaultTabStop w:val="720"/>
  <w:hyphenationZone w:val="425"/>
  <w:drawingGridHorizontalSpacing w:val="120"/>
  <w:displayHorizontalDrawingGridEvery w:val="2"/>
  <w:displayVertic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674"/>
    <w:rsid w:val="000005D3"/>
    <w:rsid w:val="000006A5"/>
    <w:rsid w:val="0000101E"/>
    <w:rsid w:val="00037DF4"/>
    <w:rsid w:val="00042EC9"/>
    <w:rsid w:val="0004700E"/>
    <w:rsid w:val="00070C13"/>
    <w:rsid w:val="00084F33"/>
    <w:rsid w:val="000A77A7"/>
    <w:rsid w:val="000B1707"/>
    <w:rsid w:val="000C1B3E"/>
    <w:rsid w:val="000E7E23"/>
    <w:rsid w:val="0015161E"/>
    <w:rsid w:val="00151940"/>
    <w:rsid w:val="00177F4D"/>
    <w:rsid w:val="00180DDA"/>
    <w:rsid w:val="00193F0A"/>
    <w:rsid w:val="001B00F2"/>
    <w:rsid w:val="001B2A2D"/>
    <w:rsid w:val="001B5AE3"/>
    <w:rsid w:val="001B737D"/>
    <w:rsid w:val="001C44A3"/>
    <w:rsid w:val="001C696B"/>
    <w:rsid w:val="001E0E15"/>
    <w:rsid w:val="001E4289"/>
    <w:rsid w:val="001F528A"/>
    <w:rsid w:val="001F704E"/>
    <w:rsid w:val="00210AAE"/>
    <w:rsid w:val="002125B0"/>
    <w:rsid w:val="00243228"/>
    <w:rsid w:val="00251483"/>
    <w:rsid w:val="00255CAA"/>
    <w:rsid w:val="00264305"/>
    <w:rsid w:val="00281AFC"/>
    <w:rsid w:val="002A0346"/>
    <w:rsid w:val="002A4487"/>
    <w:rsid w:val="002A4A47"/>
    <w:rsid w:val="002B49E9"/>
    <w:rsid w:val="002C0859"/>
    <w:rsid w:val="002D3E8B"/>
    <w:rsid w:val="002D4575"/>
    <w:rsid w:val="002D5C0C"/>
    <w:rsid w:val="002E03D1"/>
    <w:rsid w:val="002E6B74"/>
    <w:rsid w:val="002E6FCA"/>
    <w:rsid w:val="002F1E71"/>
    <w:rsid w:val="00305159"/>
    <w:rsid w:val="00320ECF"/>
    <w:rsid w:val="003278AC"/>
    <w:rsid w:val="00354B77"/>
    <w:rsid w:val="00356CD0"/>
    <w:rsid w:val="00362CD9"/>
    <w:rsid w:val="00373FBD"/>
    <w:rsid w:val="00375D9D"/>
    <w:rsid w:val="003761CA"/>
    <w:rsid w:val="00380DAF"/>
    <w:rsid w:val="003A5F2E"/>
    <w:rsid w:val="003A6685"/>
    <w:rsid w:val="003B28F5"/>
    <w:rsid w:val="003B7B7D"/>
    <w:rsid w:val="003C54CB"/>
    <w:rsid w:val="003C7A2A"/>
    <w:rsid w:val="003D2DC1"/>
    <w:rsid w:val="003D69D0"/>
    <w:rsid w:val="003D6A40"/>
    <w:rsid w:val="003F2918"/>
    <w:rsid w:val="003F430E"/>
    <w:rsid w:val="0041088C"/>
    <w:rsid w:val="00420A38"/>
    <w:rsid w:val="00431B19"/>
    <w:rsid w:val="004661AD"/>
    <w:rsid w:val="004760E3"/>
    <w:rsid w:val="00480C14"/>
    <w:rsid w:val="00490277"/>
    <w:rsid w:val="004C1A4A"/>
    <w:rsid w:val="004D1D85"/>
    <w:rsid w:val="004D3C3A"/>
    <w:rsid w:val="004E1CD1"/>
    <w:rsid w:val="005107EB"/>
    <w:rsid w:val="00517ACA"/>
    <w:rsid w:val="00521345"/>
    <w:rsid w:val="005234C3"/>
    <w:rsid w:val="00526DF0"/>
    <w:rsid w:val="00533792"/>
    <w:rsid w:val="00541134"/>
    <w:rsid w:val="00545077"/>
    <w:rsid w:val="00545CC4"/>
    <w:rsid w:val="00551FFF"/>
    <w:rsid w:val="005607A2"/>
    <w:rsid w:val="0057198B"/>
    <w:rsid w:val="005745A8"/>
    <w:rsid w:val="00584644"/>
    <w:rsid w:val="0059594F"/>
    <w:rsid w:val="00597FAE"/>
    <w:rsid w:val="005B32A3"/>
    <w:rsid w:val="005C0D44"/>
    <w:rsid w:val="005C0F41"/>
    <w:rsid w:val="005C205B"/>
    <w:rsid w:val="005C566C"/>
    <w:rsid w:val="005C7E69"/>
    <w:rsid w:val="005E1DE4"/>
    <w:rsid w:val="005E262D"/>
    <w:rsid w:val="005F23D3"/>
    <w:rsid w:val="005F7A87"/>
    <w:rsid w:val="005F7E20"/>
    <w:rsid w:val="00611E0A"/>
    <w:rsid w:val="006406AE"/>
    <w:rsid w:val="00646527"/>
    <w:rsid w:val="006652C3"/>
    <w:rsid w:val="00686210"/>
    <w:rsid w:val="00691FD0"/>
    <w:rsid w:val="00692148"/>
    <w:rsid w:val="006A588E"/>
    <w:rsid w:val="006A7B4E"/>
    <w:rsid w:val="006C5948"/>
    <w:rsid w:val="006F1D5D"/>
    <w:rsid w:val="006F2A74"/>
    <w:rsid w:val="007118F5"/>
    <w:rsid w:val="007121C2"/>
    <w:rsid w:val="00712AA4"/>
    <w:rsid w:val="00721AA1"/>
    <w:rsid w:val="00724B67"/>
    <w:rsid w:val="00727BB0"/>
    <w:rsid w:val="007330D1"/>
    <w:rsid w:val="00752449"/>
    <w:rsid w:val="007547F8"/>
    <w:rsid w:val="00765622"/>
    <w:rsid w:val="00770B6C"/>
    <w:rsid w:val="00780150"/>
    <w:rsid w:val="00783FEA"/>
    <w:rsid w:val="007C0929"/>
    <w:rsid w:val="007E28B4"/>
    <w:rsid w:val="007F0A82"/>
    <w:rsid w:val="0080294B"/>
    <w:rsid w:val="0082480E"/>
    <w:rsid w:val="00850293"/>
    <w:rsid w:val="00851373"/>
    <w:rsid w:val="00851BA6"/>
    <w:rsid w:val="0085654D"/>
    <w:rsid w:val="00861160"/>
    <w:rsid w:val="0086654F"/>
    <w:rsid w:val="008A356F"/>
    <w:rsid w:val="008A4653"/>
    <w:rsid w:val="008A4717"/>
    <w:rsid w:val="008A50CC"/>
    <w:rsid w:val="008B4A15"/>
    <w:rsid w:val="008C0B3B"/>
    <w:rsid w:val="008D1694"/>
    <w:rsid w:val="008D6D87"/>
    <w:rsid w:val="008D79CB"/>
    <w:rsid w:val="008E0B9C"/>
    <w:rsid w:val="008F07BC"/>
    <w:rsid w:val="008F5293"/>
    <w:rsid w:val="0092692B"/>
    <w:rsid w:val="00931246"/>
    <w:rsid w:val="00943E9C"/>
    <w:rsid w:val="00945815"/>
    <w:rsid w:val="0094737B"/>
    <w:rsid w:val="00953F4D"/>
    <w:rsid w:val="00960BB8"/>
    <w:rsid w:val="00964F5C"/>
    <w:rsid w:val="00966A89"/>
    <w:rsid w:val="00974D42"/>
    <w:rsid w:val="009831C0"/>
    <w:rsid w:val="009B2B67"/>
    <w:rsid w:val="009E2C96"/>
    <w:rsid w:val="009E4E5A"/>
    <w:rsid w:val="00A0389B"/>
    <w:rsid w:val="00A1659C"/>
    <w:rsid w:val="00A32E0E"/>
    <w:rsid w:val="00A446C9"/>
    <w:rsid w:val="00A57655"/>
    <w:rsid w:val="00A635D6"/>
    <w:rsid w:val="00A777BC"/>
    <w:rsid w:val="00A8553A"/>
    <w:rsid w:val="00A93ADB"/>
    <w:rsid w:val="00A93AED"/>
    <w:rsid w:val="00AD0F23"/>
    <w:rsid w:val="00B226F2"/>
    <w:rsid w:val="00B274DF"/>
    <w:rsid w:val="00B56BDF"/>
    <w:rsid w:val="00B65812"/>
    <w:rsid w:val="00B83FE3"/>
    <w:rsid w:val="00B85CD6"/>
    <w:rsid w:val="00B90A27"/>
    <w:rsid w:val="00B9554D"/>
    <w:rsid w:val="00BB0855"/>
    <w:rsid w:val="00BB2B9F"/>
    <w:rsid w:val="00BB3928"/>
    <w:rsid w:val="00BB7D9E"/>
    <w:rsid w:val="00BD1139"/>
    <w:rsid w:val="00BD3CB8"/>
    <w:rsid w:val="00BD4E6F"/>
    <w:rsid w:val="00BE598B"/>
    <w:rsid w:val="00BF32F0"/>
    <w:rsid w:val="00BF4DCE"/>
    <w:rsid w:val="00C05418"/>
    <w:rsid w:val="00C05CE5"/>
    <w:rsid w:val="00C106F7"/>
    <w:rsid w:val="00C10C1C"/>
    <w:rsid w:val="00C15BFA"/>
    <w:rsid w:val="00C44E99"/>
    <w:rsid w:val="00C6171E"/>
    <w:rsid w:val="00CA6F2C"/>
    <w:rsid w:val="00CC2D29"/>
    <w:rsid w:val="00CD1398"/>
    <w:rsid w:val="00CD6CFC"/>
    <w:rsid w:val="00CF1871"/>
    <w:rsid w:val="00D1133E"/>
    <w:rsid w:val="00D17A34"/>
    <w:rsid w:val="00D23FC7"/>
    <w:rsid w:val="00D25E20"/>
    <w:rsid w:val="00D26628"/>
    <w:rsid w:val="00D332B3"/>
    <w:rsid w:val="00D55207"/>
    <w:rsid w:val="00D563BC"/>
    <w:rsid w:val="00D82F73"/>
    <w:rsid w:val="00D92B45"/>
    <w:rsid w:val="00D95962"/>
    <w:rsid w:val="00DA7FAE"/>
    <w:rsid w:val="00DB01F7"/>
    <w:rsid w:val="00DC225E"/>
    <w:rsid w:val="00DC389B"/>
    <w:rsid w:val="00DE1491"/>
    <w:rsid w:val="00DE2FEE"/>
    <w:rsid w:val="00DF094C"/>
    <w:rsid w:val="00E00BE9"/>
    <w:rsid w:val="00E11B8C"/>
    <w:rsid w:val="00E22A11"/>
    <w:rsid w:val="00E2597E"/>
    <w:rsid w:val="00E31E5C"/>
    <w:rsid w:val="00E36EE9"/>
    <w:rsid w:val="00E558C3"/>
    <w:rsid w:val="00E55927"/>
    <w:rsid w:val="00E912A6"/>
    <w:rsid w:val="00E93094"/>
    <w:rsid w:val="00EA4844"/>
    <w:rsid w:val="00EA4D9C"/>
    <w:rsid w:val="00EA5A97"/>
    <w:rsid w:val="00EB75EE"/>
    <w:rsid w:val="00ED0385"/>
    <w:rsid w:val="00EE4C1D"/>
    <w:rsid w:val="00EF3685"/>
    <w:rsid w:val="00F159EB"/>
    <w:rsid w:val="00F25BF4"/>
    <w:rsid w:val="00F267DB"/>
    <w:rsid w:val="00F2796C"/>
    <w:rsid w:val="00F35CB6"/>
    <w:rsid w:val="00F40B22"/>
    <w:rsid w:val="00F46F6F"/>
    <w:rsid w:val="00F60608"/>
    <w:rsid w:val="00F62217"/>
    <w:rsid w:val="00F622FF"/>
    <w:rsid w:val="00F978A1"/>
    <w:rsid w:val="00FB17A9"/>
    <w:rsid w:val="00FB527C"/>
    <w:rsid w:val="00FB6F75"/>
    <w:rsid w:val="00FC0EB3"/>
    <w:rsid w:val="00FC4065"/>
    <w:rsid w:val="00FC7D56"/>
    <w:rsid w:val="00FD675E"/>
    <w:rsid w:val="00FE16DB"/>
    <w:rsid w:val="00FE5674"/>
    <w:rsid w:val="00FE6000"/>
    <w:rsid w:val="00FF3298"/>
    <w:rsid w:val="00FF3412"/>
    <w:rsid w:val="00FF77E6"/>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26682F65"/>
  <w15:docId w15:val="{E3AC429D-CB43-4320-A43E-39028CBA39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0E7E23"/>
    <w:pPr>
      <w:keepNext/>
      <w:numPr>
        <w:numId w:val="14"/>
      </w:numPr>
      <w:spacing w:before="240" w:after="240"/>
      <w:outlineLvl w:val="0"/>
    </w:pPr>
    <w:rPr>
      <w:rFonts w:ascii="Calibri" w:hAnsi="Calibri"/>
      <w:b/>
      <w:caps/>
      <w:kern w:val="28"/>
      <w:sz w:val="24"/>
      <w:lang w:eastAsia="de-DE"/>
    </w:rPr>
  </w:style>
  <w:style w:type="paragraph" w:styleId="Heading2">
    <w:name w:val="heading 2"/>
    <w:basedOn w:val="Normal"/>
    <w:next w:val="BodyText"/>
    <w:link w:val="Heading2Char"/>
    <w:qFormat/>
    <w:rsid w:val="00D332B3"/>
    <w:pPr>
      <w:numPr>
        <w:ilvl w:val="1"/>
        <w:numId w:val="14"/>
      </w:numPr>
      <w:spacing w:before="120" w:after="120"/>
      <w:outlineLvl w:val="1"/>
    </w:pPr>
    <w:rPr>
      <w:b/>
    </w:rPr>
  </w:style>
  <w:style w:type="paragraph" w:styleId="Heading3">
    <w:name w:val="heading 3"/>
    <w:basedOn w:val="Normal"/>
    <w:next w:val="BodyText"/>
    <w:link w:val="Heading3Char"/>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0E7E23"/>
    <w:rPr>
      <w:rFonts w:cs="Calibri"/>
      <w:b/>
      <w:caps/>
      <w:kern w:val="28"/>
      <w:sz w:val="24"/>
      <w:szCs w:val="22"/>
      <w:lang w:eastAsia="de-DE"/>
    </w:rPr>
  </w:style>
  <w:style w:type="character" w:customStyle="1" w:styleId="Heading2Char">
    <w:name w:val="Heading 2 Char"/>
    <w:link w:val="Heading2"/>
    <w:rsid w:val="00E00BE9"/>
    <w:rPr>
      <w:rFonts w:ascii="Arial" w:hAnsi="Arial" w:cs="Calibri"/>
      <w:b/>
      <w:lang w:eastAsia="en-GB"/>
    </w:rPr>
  </w:style>
  <w:style w:type="paragraph" w:customStyle="1" w:styleId="Annex">
    <w:name w:val="Annex"/>
    <w:basedOn w:val="Heading1"/>
    <w:next w:val="Normal"/>
    <w:qFormat/>
    <w:rsid w:val="008D1694"/>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0E7E23"/>
    <w:pPr>
      <w:spacing w:after="120"/>
      <w:jc w:val="both"/>
    </w:pPr>
    <w:rPr>
      <w:rFonts w:ascii="Calibri" w:hAnsi="Calibri"/>
    </w:rPr>
  </w:style>
  <w:style w:type="character" w:customStyle="1" w:styleId="BodyTextChar">
    <w:name w:val="Body Text Char"/>
    <w:link w:val="BodyText"/>
    <w:rsid w:val="000E7E23"/>
    <w:rPr>
      <w:rFonts w:cs="Calibri"/>
      <w:sz w:val="22"/>
      <w:szCs w:val="22"/>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0E7E23"/>
    <w:pPr>
      <w:numPr>
        <w:numId w:val="22"/>
      </w:numPr>
      <w:spacing w:after="120"/>
      <w:jc w:val="both"/>
    </w:pPr>
    <w:rPr>
      <w:rFonts w:ascii="Calibri" w:eastAsia="MS Mincho" w:hAnsi="Calibri"/>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rsid w:val="008D1694"/>
    <w:rPr>
      <w:rFonts w:ascii="Arial" w:hAnsi="Arial"/>
      <w:sz w:val="16"/>
    </w:rPr>
  </w:style>
  <w:style w:type="paragraph" w:styleId="FootnoteText">
    <w:name w:val="footnote text"/>
    <w:basedOn w:val="Normal"/>
    <w:link w:val="FootnoteTextChar"/>
    <w:rsid w:val="00243228"/>
    <w:rPr>
      <w:sz w:val="20"/>
      <w:szCs w:val="20"/>
    </w:rPr>
  </w:style>
  <w:style w:type="character" w:customStyle="1" w:styleId="FootnoteTextChar">
    <w:name w:val="Footnote Text Char"/>
    <w:link w:val="FootnoteText"/>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0E7E23"/>
    <w:pPr>
      <w:spacing w:before="120" w:after="240"/>
      <w:jc w:val="center"/>
      <w:outlineLvl w:val="0"/>
    </w:pPr>
    <w:rPr>
      <w:rFonts w:ascii="Calibri" w:hAnsi="Calibri" w:cs="Arial"/>
      <w:b/>
      <w:bCs/>
      <w:kern w:val="28"/>
      <w:sz w:val="32"/>
      <w:szCs w:val="32"/>
    </w:rPr>
  </w:style>
  <w:style w:type="character" w:customStyle="1" w:styleId="TitleChar">
    <w:name w:val="Title Char"/>
    <w:link w:val="Title"/>
    <w:rsid w:val="000E7E23"/>
    <w:rPr>
      <w:rFonts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Caption">
    <w:name w:val="caption"/>
    <w:basedOn w:val="Normal"/>
    <w:next w:val="Normal"/>
    <w:uiPriority w:val="35"/>
    <w:unhideWhenUsed/>
    <w:qFormat/>
    <w:rsid w:val="00E11B8C"/>
    <w:pPr>
      <w:spacing w:after="200"/>
    </w:pPr>
    <w:rPr>
      <w:b/>
      <w:bCs/>
      <w:color w:val="4F81BD" w:themeColor="accent1"/>
      <w:sz w:val="18"/>
      <w:szCs w:val="18"/>
    </w:rPr>
  </w:style>
  <w:style w:type="paragraph" w:styleId="NormalWeb">
    <w:name w:val="Normal (Web)"/>
    <w:basedOn w:val="Normal"/>
    <w:uiPriority w:val="99"/>
    <w:unhideWhenUsed/>
    <w:rsid w:val="004760E3"/>
    <w:pPr>
      <w:spacing w:before="100" w:beforeAutospacing="1" w:after="100" w:afterAutospacing="1"/>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52354348">
      <w:bodyDiv w:val="1"/>
      <w:marLeft w:val="0"/>
      <w:marRight w:val="0"/>
      <w:marTop w:val="0"/>
      <w:marBottom w:val="0"/>
      <w:divBdr>
        <w:top w:val="none" w:sz="0" w:space="0" w:color="auto"/>
        <w:left w:val="none" w:sz="0" w:space="0" w:color="auto"/>
        <w:bottom w:val="none" w:sz="0" w:space="0" w:color="auto"/>
        <w:right w:val="none" w:sz="0" w:space="0" w:color="auto"/>
      </w:divBdr>
      <w:divsChild>
        <w:div w:id="659193542">
          <w:marLeft w:val="0"/>
          <w:marRight w:val="0"/>
          <w:marTop w:val="0"/>
          <w:marBottom w:val="0"/>
          <w:divBdr>
            <w:top w:val="none" w:sz="0" w:space="0" w:color="auto"/>
            <w:left w:val="none" w:sz="0" w:space="0" w:color="auto"/>
            <w:bottom w:val="none" w:sz="0" w:space="0" w:color="auto"/>
            <w:right w:val="none" w:sz="0" w:space="0" w:color="auto"/>
          </w:divBdr>
          <w:divsChild>
            <w:div w:id="992753045">
              <w:marLeft w:val="0"/>
              <w:marRight w:val="0"/>
              <w:marTop w:val="0"/>
              <w:marBottom w:val="0"/>
              <w:divBdr>
                <w:top w:val="none" w:sz="0" w:space="0" w:color="auto"/>
                <w:left w:val="none" w:sz="0" w:space="0" w:color="auto"/>
                <w:bottom w:val="none" w:sz="0" w:space="0" w:color="auto"/>
                <w:right w:val="none" w:sz="0" w:space="0" w:color="auto"/>
              </w:divBdr>
              <w:divsChild>
                <w:div w:id="1445996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A930BC-7AC9-48E2-ACCC-52BC7C05155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A4E3219-BCAA-4907-B7B2-EA71D6B50D2C}">
  <ds:schemaRefs>
    <ds:schemaRef ds:uri="http://schemas.microsoft.com/sharepoint/v3/contenttype/forms"/>
  </ds:schemaRefs>
</ds:datastoreItem>
</file>

<file path=customXml/itemProps3.xml><?xml version="1.0" encoding="utf-8"?>
<ds:datastoreItem xmlns:ds="http://schemas.openxmlformats.org/officeDocument/2006/customXml" ds:itemID="{9B734086-A469-4EB7-9012-1883F5E3BD0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A64F1AB-64CA-4AF2-8416-4D645E3AE1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989</Words>
  <Characters>5641</Characters>
  <Application>Microsoft Office Word</Application>
  <DocSecurity>0</DocSecurity>
  <Lines>47</Lines>
  <Paragraphs>13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Trinity House</Company>
  <LinksUpToDate>false</LinksUpToDate>
  <CharactersWithSpaces>6617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Jaime Alvarez</cp:lastModifiedBy>
  <cp:revision>5</cp:revision>
  <cp:lastPrinted>2020-04-28T05:27:00Z</cp:lastPrinted>
  <dcterms:created xsi:type="dcterms:W3CDTF">2020-08-25T09:34:00Z</dcterms:created>
  <dcterms:modified xsi:type="dcterms:W3CDTF">2020-09-15T07:11:00Z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